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A87" w:rsidRDefault="00B257E1">
      <w:pPr>
        <w:tabs>
          <w:tab w:val="left" w:pos="567"/>
          <w:tab w:val="left" w:pos="8069"/>
        </w:tabs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Додаток 6</w:t>
      </w:r>
    </w:p>
    <w:p w:rsidR="00106A87" w:rsidRDefault="00B257E1">
      <w:pPr>
        <w:tabs>
          <w:tab w:val="left" w:pos="567"/>
        </w:tabs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</w:t>
      </w:r>
    </w:p>
    <w:p w:rsidR="00106A87" w:rsidRDefault="00B257E1">
      <w:pPr>
        <w:tabs>
          <w:tab w:val="left" w:pos="567"/>
        </w:tabs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енергетичного маркування</w:t>
      </w:r>
    </w:p>
    <w:p w:rsidR="00106A87" w:rsidRDefault="00B257E1">
      <w:pPr>
        <w:tabs>
          <w:tab w:val="left" w:pos="567"/>
        </w:tabs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обігрівачів приміщень, комбінованих</w:t>
      </w:r>
    </w:p>
    <w:p w:rsidR="00106A87" w:rsidRDefault="00B257E1">
      <w:pPr>
        <w:tabs>
          <w:tab w:val="left" w:pos="567"/>
        </w:tabs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обігрівачів, комплектів з обігрівача</w:t>
      </w:r>
    </w:p>
    <w:p w:rsidR="00106A87" w:rsidRDefault="00B257E1">
      <w:pPr>
        <w:tabs>
          <w:tab w:val="left" w:pos="567"/>
        </w:tabs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приміщень, регулятора температури і</w:t>
      </w:r>
    </w:p>
    <w:p w:rsidR="00106A87" w:rsidRDefault="00B257E1">
      <w:pPr>
        <w:tabs>
          <w:tab w:val="left" w:pos="567"/>
        </w:tabs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сонячної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установки та комплектів</w:t>
      </w:r>
    </w:p>
    <w:p w:rsidR="00106A87" w:rsidRDefault="00B257E1">
      <w:pPr>
        <w:tabs>
          <w:tab w:val="left" w:pos="567"/>
        </w:tabs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комбінованого обігрівача,</w:t>
      </w:r>
    </w:p>
    <w:p w:rsidR="00106A87" w:rsidRDefault="00B257E1">
      <w:pPr>
        <w:tabs>
          <w:tab w:val="left" w:pos="567"/>
        </w:tabs>
        <w:spacing w:after="0" w:line="240" w:lineRule="auto"/>
        <w:ind w:left="48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регулятора температури і</w:t>
      </w:r>
    </w:p>
    <w:p w:rsidR="00106A87" w:rsidRDefault="00B257E1">
      <w:pPr>
        <w:tabs>
          <w:tab w:val="left" w:pos="567"/>
        </w:tabs>
        <w:spacing w:after="0" w:line="240" w:lineRule="auto"/>
        <w:ind w:firstLine="482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сонячної установки </w:t>
      </w:r>
    </w:p>
    <w:p w:rsidR="00106A87" w:rsidRDefault="00B257E1">
      <w:pPr>
        <w:tabs>
          <w:tab w:val="left" w:pos="567"/>
        </w:tabs>
        <w:spacing w:after="0" w:line="240" w:lineRule="auto"/>
        <w:ind w:firstLine="482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(пункт 10 розділу ІІІ)</w:t>
      </w:r>
    </w:p>
    <w:p w:rsidR="00106A87" w:rsidRDefault="00106A87">
      <w:pPr>
        <w:tabs>
          <w:tab w:val="left" w:pos="567"/>
        </w:tabs>
        <w:spacing w:after="0" w:line="240" w:lineRule="auto"/>
        <w:ind w:firstLine="482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06A87" w:rsidRDefault="00106A87">
      <w:pPr>
        <w:tabs>
          <w:tab w:val="left" w:pos="567"/>
        </w:tabs>
        <w:spacing w:after="0" w:line="240" w:lineRule="auto"/>
        <w:ind w:firstLine="482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06A87" w:rsidRDefault="00B257E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ІНФОРМАЦІЯ,</w:t>
      </w:r>
    </w:p>
    <w:p w:rsidR="00106A87" w:rsidRDefault="00B257E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яка надається у разі, якщо кінцеві споживачі не можуть побачити обігрівач приміщення, комбінований обігрівач, комплект з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обігрівача</w:t>
      </w:r>
    </w:p>
    <w:p w:rsidR="00106A87" w:rsidRDefault="00B257E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приміщень, регулятора температури і сонячної установки та комплект з комбінованого обігрівача, регулятора температури і сонячної установки, окрім випадків їх реалізації дистанційним способом </w:t>
      </w:r>
      <w:r w:rsidR="00C90CEC">
        <w:rPr>
          <w:rFonts w:ascii="Times New Roman" w:hAnsi="Times New Roman"/>
          <w:b/>
          <w:bCs/>
          <w:sz w:val="28"/>
          <w:szCs w:val="28"/>
          <w:lang w:val="uk-UA"/>
        </w:rPr>
        <w:br/>
      </w:r>
      <w:r>
        <w:rPr>
          <w:rFonts w:ascii="Times New Roman" w:hAnsi="Times New Roman"/>
          <w:b/>
          <w:bCs/>
          <w:sz w:val="28"/>
          <w:szCs w:val="28"/>
          <w:lang w:val="uk-UA"/>
        </w:rPr>
        <w:t>(через мережу Інтернет)</w:t>
      </w:r>
    </w:p>
    <w:p w:rsidR="00106A87" w:rsidRDefault="00106A8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  Якщо кінцеві споживачі не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можуть побачити обігрівачі приміщень,</w:t>
      </w:r>
      <w:r>
        <w:rPr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їм надається інформація, зазначена у розділі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 Технічного регламенту енергетичного маркування обігрівачів приміщень, комбінованих обігрівачів, комплектів з обігрівача приміщень, регулятора темпер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атури і сонячної уста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новки та комплектів з комбінованого обігрівача, регулятора температури і сонячної установки (далі – Технічний регламент), в такому порядку: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1) клас сезонної енергоефективності моделі, визначений відповідно до пункта 1 додатка 2 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номінальна теплова потужність, включаючи номінальну теплову потужність кожного додаткового обігрівача, в кВт, округлена до цілого числа (для обігрівачів приміщень з теплонасосами за тепліших кліматичних умов);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сезонна енергоефективність у відсотках, ок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руглена до цілого числа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  <w:t>і обчислена згідно з пунктами 3 і 4 додатка 7 до Технічного регламенту (для обігрівачів приміщень з теплонасосами відповідно до тепліших кліматичних умов);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річне споживання енергії в кВт∙год та/або в ГДж, яку отримує кінцевий сп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оживач у перерахунку на вищу теплотворну здатність за тепліших кліматичних умов, округлене до найближчого цілого числа і розраховане відповідно до пунктів 3 та 4 додатка 7 до Технічного регламенту (для обігрівачів приміщень з теплонасосами відповідно до те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пліших кліматичних умов);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5)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рівень звукової потужності </w:t>
      </w:r>
      <w:r>
        <w:rPr>
          <w:rFonts w:ascii="Times New Roman" w:hAnsi="Times New Roman"/>
          <w:sz w:val="28"/>
          <w:szCs w:val="28"/>
        </w:rPr>
        <w:t>в приміщенні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L</w:t>
      </w:r>
      <w:r>
        <w:rPr>
          <w:rFonts w:ascii="Times New Roman" w:eastAsia="Times New Roman" w:hAnsi="Times New Roman"/>
          <w:sz w:val="28"/>
          <w:szCs w:val="28"/>
          <w:vertAlign w:val="subscript"/>
          <w:lang w:val="uk-UA" w:eastAsia="ru-RU"/>
        </w:rPr>
        <w:t>WA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округлений до найближчого цілого числа (для обігрівачів приміщень з теплонасосами, якщо застосовно), дБ;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крім того, для когенераційних обігрівачів приміщень: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6)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електрична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ефективність у відсотках, округлена до найближчого цілого числа;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крім того, для обігрівачів приміщень з теплонасосами: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7)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номінальна теплова потужність, включаючи номінальну теплову потужність кожного додаткового обігрівача, за холодніших кліматичних умов,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округлена до найближчого цілого числа, в кВт;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8)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сезонна енергоефективність у відсотках, за холодніших кліматичних умов, округлена до найближчого цілого числа і розрахована відповідно до пункту 4 додатка 7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9)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річне споживання ене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ргії в кВт∙год та/або в ГДж, яку отримує кінцевий споживач у перерахунку на вищу теплотворну здатність за холодніших кліматичних умов, округлене до найближчого цілого числа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  <w:t>і розрахована відповідно до пункта 4 додатка 7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10)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рівен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 звукової потужності L</w:t>
      </w:r>
      <w:r>
        <w:rPr>
          <w:rFonts w:ascii="Times New Roman" w:eastAsia="Times New Roman" w:hAnsi="Times New Roman"/>
          <w:sz w:val="28"/>
          <w:szCs w:val="28"/>
          <w:vertAlign w:val="subscript"/>
          <w:lang w:val="uk-UA" w:eastAsia="ru-RU"/>
        </w:rPr>
        <w:t>WA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ззовні приміщення, округлений до найближчого цілого числа, в дБ;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крім того, для низькотемпературних теплонасосів: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11)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засвідчення того, що низькотемпературний теплонасос може використовуватись виключно за низьких температур.</w:t>
      </w:r>
    </w:p>
    <w:p w:rsidR="00106A87" w:rsidRDefault="00106A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Якщо кінцеві споживачі не можуть побачити комбіновані обігрівачі, їм надається інформація, зазначена у розділі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ІІ Технічного регламенту, в такому порядку: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1) для обігріву приміщення – при застосуванні за середніх температур, для нагрівання води – заявлени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й профіль навантаження, позначений відповідною літерою і типовим застосуванням, згідно з таблицею 7 додатка 7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2) клас сезонної енергоефективності моделі, визначений згідно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  <w:t>з пунктами 1 та 2 додатка 2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3) 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номінальна теплова потужність, включаючи номінальну теплову потужність кожного додаткового обігрівача, округлена до найближчого цілого числа (для комбінованих обігрівачів з теплонасосами за тепліших кліматичних умов), в кВт;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4) для обігріву приміщень – річ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не споживання енергії в кВт∙год та/або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  <w:t>в ГДж, яку отримує кінцевий споживач у перерахунку на вищу теплотворну здатність, округлене до найближчого цілого числа і розраховано відповідно до пунктів 3 та 4 додатка 7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Технічного регламенту (для комбінованих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обігрівачів з теплонасосами за тепліших кліматичних умов). Для нагрівання води - річне споживання електроенергії в кВт∙год та/або річне споживання палива в ГДж, яку отримує кінцевий споживач у перерахунку на вищу теплотворну здатність, округлене до найближ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чого цілого числа і розраховано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відповідно до пунктів 5 додатка 7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 (для комбінованих обігрівачів з теплонасосами за тепліших кліматичних умов);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5) сезонна енергоефективність обігріву приміщення у відсотках, округлена до найближчого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цілого числа і розрахована відповідно до пунктів 3 та 4 додатка 7 до Технічного регламенту (для комбінованих обігрівачів з теплонасосами за тепліших кліматичних умов); енергоефективність нагрівання води у відсотках, округлена до найближчого цілого числа 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розрахована відповідно до пункту 5 додатка 7 до Технічного регламенту (для комбінованих обігрівачів з теплонасосами за тепліших кліматичних умов);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6) рівень звукової потужності L</w:t>
      </w:r>
      <w:r>
        <w:rPr>
          <w:rFonts w:ascii="Times New Roman" w:eastAsia="Times New Roman" w:hAnsi="Times New Roman"/>
          <w:sz w:val="28"/>
          <w:szCs w:val="28"/>
          <w:vertAlign w:val="subscript"/>
          <w:lang w:val="uk-UA" w:eastAsia="ru-RU"/>
        </w:rPr>
        <w:t>WA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всередині приміщення, округлений до найближчого цілого числа (для комбінов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аних обігрівачів з теплонасосами, якщо застосовно), дБ;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7) якщо застосовно, зазначення того, що комбінований обігрівач може працювати тільки не в пікові години;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крім того, для комбінованих обігрівачів з теплонасосами: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8) номінальна теплова потужність, вклю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чаючи номінальну теплову потужність кожного додаткового обігрівача, в кВт, за холодніших кліматичних умов, округлена до найближчого цілого числа;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9) для обігріву приміщень – річне споживання енергії в кВт∙год та/або в ГДж, за холодніших кліматичних умов, 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круглене до найближчого цілого числа і розраховане відповідно до пункту 4 додатка 7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регламенту.  Для нагрівання води – річне споживання електроенергії в кВт∙год та/або річне споживання палива в ГДж, яку отримує кінцевий споживач у перерахунку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вищу теплотворну здатність, за холодніших кліматичних умов, округлене до найближчого цілого числа і розраховане відповідно до пункту 5 додатка 7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10) сезонна енергоефективність обігріву приміщення у відсотках, за холодніших кліматичних умов, округлена до найближчого цілого числа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  <w:t>і розрахована відповідно до пункту 4 додатка 7. Енергоефективність нагрівання води у відсотках, за холодніших кліматичних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умов, округлена до найближчого цілого числа і розрахована відповідно до пункту 5 додатка 7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11) рівень звукової потужності L</w:t>
      </w:r>
      <w:r>
        <w:rPr>
          <w:rFonts w:ascii="Times New Roman" w:eastAsia="Times New Roman" w:hAnsi="Times New Roman"/>
          <w:sz w:val="28"/>
          <w:szCs w:val="28"/>
          <w:vertAlign w:val="subscript"/>
          <w:lang w:val="uk-UA" w:eastAsia="ru-RU"/>
        </w:rPr>
        <w:t>WA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ззовні приміщення, округлений до найближчого цілого числа, в дБ.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3. Якщо кінцеві споживачі не можуть по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бачити комплекти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  <w:t xml:space="preserve">з обігрівача приміщень, регулятора температури і сонячної установки, їм надається інформація, зазначена в розділі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ІІ Технічного регламенту в такому порядку: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1) клас сезонної енергоефективності моделі, визначений відповідно до пункту 1 до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датка 2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2) сезонна енергоефективність обігріву приміщення у відсотках, округлена до найближчого цілого числа;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3) елементи, </w:t>
      </w:r>
      <w:r>
        <w:rPr>
          <w:rFonts w:ascii="Times New Roman" w:hAnsi="Times New Roman"/>
          <w:sz w:val="28"/>
          <w:szCs w:val="28"/>
        </w:rPr>
        <w:t>відображені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рисунках 1–4, відповідно додатка 4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регламенту.</w:t>
      </w:r>
    </w:p>
    <w:p w:rsidR="00106A87" w:rsidRDefault="00106A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 Якщо кінцеві споживачі не 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ожуть побачити комплекти з комбінованого обігрівача, регулятора температури і сонячної установки, їм надається інформація, зазначена в розділі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 Технічного регламенту в такому порядку: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1) клас сезонної енергоефективності моделі, визначений відповідно до 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унктів 1 та 2 додатка 2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2) сезонна енергоефективність обігріву приміщення та енергоефективність нагрівання води у відсотках, округлена до найближчого цілого числа;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3) елементи, </w:t>
      </w:r>
      <w:r>
        <w:rPr>
          <w:rFonts w:ascii="Times New Roman" w:hAnsi="Times New Roman"/>
          <w:sz w:val="28"/>
          <w:szCs w:val="28"/>
        </w:rPr>
        <w:t>відображені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рисунках 1 та 3, відповідно, додатка 4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регламенту;</w:t>
      </w:r>
    </w:p>
    <w:p w:rsidR="00106A87" w:rsidRDefault="00B25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4) елементи, </w:t>
      </w:r>
      <w:r>
        <w:rPr>
          <w:rFonts w:ascii="Times New Roman" w:hAnsi="Times New Roman"/>
          <w:sz w:val="28"/>
          <w:szCs w:val="28"/>
        </w:rPr>
        <w:t>відображені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рисунку 5 додатка 4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Технічного регламенту.</w:t>
      </w:r>
    </w:p>
    <w:p w:rsidR="00106A87" w:rsidRDefault="00B257E1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Розмір і шрифт тексту, яким друкується або відображається інформація, згадана в пунктах 1–4 цього додатка, мають бути чіткими.</w:t>
      </w:r>
    </w:p>
    <w:sectPr w:rsidR="00106A87">
      <w:headerReference w:type="default" r:id="rId6"/>
      <w:headerReference w:type="first" r:id="rId7"/>
      <w:pgSz w:w="11906" w:h="16838"/>
      <w:pgMar w:top="709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7E1" w:rsidRDefault="00B257E1">
      <w:pPr>
        <w:spacing w:after="0" w:line="240" w:lineRule="auto"/>
      </w:pPr>
      <w:r>
        <w:separator/>
      </w:r>
    </w:p>
  </w:endnote>
  <w:endnote w:type="continuationSeparator" w:id="0">
    <w:p w:rsidR="00B257E1" w:rsidRDefault="00B2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7E1" w:rsidRDefault="00B257E1">
      <w:pPr>
        <w:spacing w:after="0" w:line="240" w:lineRule="auto"/>
      </w:pPr>
      <w:r>
        <w:separator/>
      </w:r>
    </w:p>
  </w:footnote>
  <w:footnote w:type="continuationSeparator" w:id="0">
    <w:p w:rsidR="00B257E1" w:rsidRDefault="00B25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87" w:rsidRDefault="00B257E1">
    <w:pPr>
      <w:framePr w:h="391" w:hRule="exact" w:wrap="around" w:vAnchor="text" w:hAnchor="page" w:x="6136" w:y="1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</w:instrText>
    </w:r>
    <w:r>
      <w:rPr>
        <w:rFonts w:ascii="Times New Roman" w:hAnsi="Times New Roman"/>
        <w:sz w:val="28"/>
        <w:szCs w:val="28"/>
      </w:rPr>
      <w:fldChar w:fldCharType="separate"/>
    </w:r>
    <w:r w:rsidR="00C90CEC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  <w:p w:rsidR="00106A87" w:rsidRDefault="00B257E1">
    <w:pPr>
      <w:pStyle w:val="a6"/>
      <w:spacing w:after="0"/>
      <w:jc w:val="right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 xml:space="preserve">Продовження </w:t>
    </w:r>
    <w:r>
      <w:rPr>
        <w:rFonts w:ascii="Times New Roman" w:hAnsi="Times New Roman"/>
        <w:sz w:val="28"/>
        <w:szCs w:val="28"/>
        <w:lang w:val="uk-UA"/>
      </w:rPr>
      <w:t>додатка 6</w:t>
    </w:r>
  </w:p>
  <w:p w:rsidR="00106A87" w:rsidRDefault="00106A87">
    <w:pPr>
      <w:pStyle w:val="a6"/>
      <w:spacing w:after="0"/>
      <w:jc w:val="right"/>
      <w:rPr>
        <w:rFonts w:ascii="Times New Roman" w:hAnsi="Times New Roman"/>
        <w:sz w:val="28"/>
        <w:szCs w:val="28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87" w:rsidRDefault="00106A87">
    <w:pPr>
      <w:pStyle w:val="a6"/>
      <w:jc w:val="center"/>
    </w:pPr>
  </w:p>
  <w:p w:rsidR="00106A87" w:rsidRDefault="00106A87">
    <w:pPr>
      <w:pStyle w:val="a6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6A87"/>
    <w:rsid w:val="00106A87"/>
    <w:rsid w:val="00B257E1"/>
    <w:rsid w:val="00C90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ADEEE3"/>
  <w15:docId w15:val="{1CE4781C-4AAF-41F0-BEA5-AC5FBAAD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pPr>
      <w:spacing w:before="120" w:after="0" w:line="240" w:lineRule="auto"/>
      <w:ind w:firstLine="567"/>
      <w:jc w:val="both"/>
    </w:pPr>
    <w:rPr>
      <w:rFonts w:ascii="Antiqua" w:eastAsia="Times New Roman" w:hAnsi="Antiqua"/>
      <w:sz w:val="26"/>
      <w:szCs w:val="20"/>
      <w:lang w:val="uk-UA" w:eastAsia="ru-RU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uiPriority w:val="99"/>
    <w:pPr>
      <w:widowControl w:val="0"/>
      <w:suppressAutoHyphens/>
      <w:overflowPunct w:val="0"/>
    </w:pPr>
    <w:rPr>
      <w:rFonts w:ascii="EUAlbertina" w:eastAsia="SimSun" w:hAnsi="EUAlbertina" w:cs="Calibri"/>
      <w:color w:val="00000A"/>
      <w:sz w:val="24"/>
    </w:rPr>
  </w:style>
  <w:style w:type="paragraph" w:styleId="a5">
    <w:name w:val="List Paragraph"/>
    <w:basedOn w:val="a"/>
    <w:uiPriority w:val="1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Pr>
      <w:sz w:val="22"/>
      <w:szCs w:val="22"/>
      <w:lang w:eastAsia="en-US"/>
    </w:rPr>
  </w:style>
  <w:style w:type="paragraph" w:customStyle="1" w:styleId="aa">
    <w:name w:val="Назва документа"/>
    <w:basedOn w:val="a"/>
    <w:next w:val="a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val="uk-UA" w:eastAsia="ru-RU"/>
    </w:rPr>
  </w:style>
  <w:style w:type="paragraph" w:customStyle="1" w:styleId="ab">
    <w:name w:val="Базовый"/>
    <w:uiPriority w:val="99"/>
    <w:pPr>
      <w:widowControl w:val="0"/>
      <w:suppressAutoHyphens/>
      <w:overflowPunct w:val="0"/>
      <w:spacing w:after="200" w:line="276" w:lineRule="auto"/>
    </w:pPr>
    <w:rPr>
      <w:rFonts w:ascii="EUAlbertina" w:eastAsia="SimSun" w:hAnsi="EUAlbertina" w:cs="Calibri"/>
      <w:color w:val="00000A"/>
      <w:sz w:val="24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Mahmurov</dc:creator>
  <cp:lastModifiedBy>Andrey</cp:lastModifiedBy>
  <cp:revision>11</cp:revision>
  <cp:lastPrinted>2019-02-06T12:57:00Z</cp:lastPrinted>
  <dcterms:created xsi:type="dcterms:W3CDTF">2019-08-29T09:51:00Z</dcterms:created>
  <dcterms:modified xsi:type="dcterms:W3CDTF">2020-07-15T11:27:00Z</dcterms:modified>
</cp:coreProperties>
</file>